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7E7C37" w:rsidRDefault="005A75DC" w:rsidP="005A75DC">
      <w:pPr>
        <w:jc w:val="center"/>
        <w:rPr>
          <w:b/>
          <w:noProof/>
          <w:sz w:val="20"/>
          <w:szCs w:val="20"/>
          <w:lang w:eastAsia="zh-TW"/>
        </w:rPr>
      </w:pPr>
      <w:r w:rsidRPr="007E7C37">
        <w:rPr>
          <w:b/>
          <w:noProof/>
          <w:sz w:val="20"/>
          <w:szCs w:val="20"/>
          <w:lang w:eastAsia="zh-TW"/>
        </w:rPr>
        <w:t>LEAP Action Learning Report 2012</w:t>
      </w:r>
    </w:p>
    <w:tbl>
      <w:tblPr>
        <w:tblStyle w:val="TableGrid"/>
        <w:tblW w:w="9322" w:type="dxa"/>
        <w:tblLook w:val="04A0"/>
      </w:tblPr>
      <w:tblGrid>
        <w:gridCol w:w="2310"/>
        <w:gridCol w:w="7012"/>
      </w:tblGrid>
      <w:tr w:rsidR="005A75DC" w:rsidRPr="007E7C37" w:rsidTr="005A75DC">
        <w:tc>
          <w:tcPr>
            <w:tcW w:w="2310" w:type="dxa"/>
          </w:tcPr>
          <w:p w:rsidR="005A75DC" w:rsidRPr="007E7C37" w:rsidRDefault="005A75DC" w:rsidP="005A75DC">
            <w:pPr>
              <w:jc w:val="center"/>
              <w:rPr>
                <w:sz w:val="20"/>
                <w:szCs w:val="20"/>
              </w:rPr>
            </w:pPr>
            <w:r w:rsidRPr="007E7C37">
              <w:rPr>
                <w:sz w:val="20"/>
                <w:szCs w:val="20"/>
              </w:rPr>
              <w:t>Topic area</w:t>
            </w:r>
          </w:p>
          <w:p w:rsidR="005A75DC" w:rsidRPr="007E7C37" w:rsidRDefault="005A75DC" w:rsidP="00446A9E">
            <w:pPr>
              <w:jc w:val="center"/>
              <w:rPr>
                <w:sz w:val="20"/>
                <w:szCs w:val="20"/>
              </w:rPr>
            </w:pPr>
            <w:r w:rsidRPr="007E7C37">
              <w:rPr>
                <w:sz w:val="20"/>
                <w:szCs w:val="20"/>
              </w:rPr>
              <w:t>(The What)</w:t>
            </w:r>
          </w:p>
        </w:tc>
        <w:tc>
          <w:tcPr>
            <w:tcW w:w="7012" w:type="dxa"/>
          </w:tcPr>
          <w:p w:rsidR="005A75DC" w:rsidRPr="007E7C37" w:rsidRDefault="00001620" w:rsidP="005A75DC">
            <w:pPr>
              <w:rPr>
                <w:sz w:val="20"/>
                <w:szCs w:val="20"/>
              </w:rPr>
            </w:pPr>
            <w:r w:rsidRPr="007E7C37">
              <w:rPr>
                <w:sz w:val="20"/>
                <w:szCs w:val="20"/>
              </w:rPr>
              <w:t>Supporting Students at Risk</w:t>
            </w:r>
          </w:p>
        </w:tc>
      </w:tr>
      <w:tr w:rsidR="005A75DC" w:rsidRPr="007E7C37" w:rsidTr="005A75DC">
        <w:tc>
          <w:tcPr>
            <w:tcW w:w="2310" w:type="dxa"/>
          </w:tcPr>
          <w:p w:rsidR="005A75DC" w:rsidRPr="007E7C37" w:rsidRDefault="005A75DC" w:rsidP="005A75DC">
            <w:pPr>
              <w:jc w:val="center"/>
              <w:rPr>
                <w:sz w:val="20"/>
                <w:szCs w:val="20"/>
              </w:rPr>
            </w:pPr>
            <w:r w:rsidRPr="007E7C37">
              <w:rPr>
                <w:sz w:val="20"/>
                <w:szCs w:val="20"/>
              </w:rPr>
              <w:t>Context</w:t>
            </w:r>
          </w:p>
          <w:p w:rsidR="005A75DC" w:rsidRPr="007E7C37" w:rsidRDefault="005A75DC" w:rsidP="005A75DC">
            <w:pPr>
              <w:jc w:val="center"/>
              <w:rPr>
                <w:sz w:val="20"/>
                <w:szCs w:val="20"/>
              </w:rPr>
            </w:pPr>
            <w:r w:rsidRPr="007E7C37">
              <w:rPr>
                <w:sz w:val="20"/>
                <w:szCs w:val="20"/>
              </w:rPr>
              <w:t>(The Where and When)</w:t>
            </w:r>
          </w:p>
          <w:p w:rsidR="005A75DC" w:rsidRPr="007E7C37" w:rsidRDefault="005A75DC" w:rsidP="005A75DC">
            <w:pPr>
              <w:jc w:val="center"/>
              <w:rPr>
                <w:sz w:val="20"/>
                <w:szCs w:val="20"/>
              </w:rPr>
            </w:pPr>
          </w:p>
          <w:p w:rsidR="005A75DC" w:rsidRPr="007E7C37" w:rsidRDefault="005A75DC" w:rsidP="005A75DC">
            <w:pPr>
              <w:jc w:val="center"/>
              <w:rPr>
                <w:sz w:val="20"/>
                <w:szCs w:val="20"/>
              </w:rPr>
            </w:pPr>
          </w:p>
        </w:tc>
        <w:tc>
          <w:tcPr>
            <w:tcW w:w="7012" w:type="dxa"/>
          </w:tcPr>
          <w:p w:rsidR="005A75DC" w:rsidRPr="007E7C37" w:rsidRDefault="00C9150E" w:rsidP="005A75DC">
            <w:pPr>
              <w:rPr>
                <w:sz w:val="20"/>
                <w:szCs w:val="20"/>
              </w:rPr>
            </w:pPr>
            <w:r w:rsidRPr="007E7C37">
              <w:rPr>
                <w:sz w:val="20"/>
                <w:szCs w:val="20"/>
              </w:rPr>
              <w:t>Gulfstream Public School, Toronto, Canada</w:t>
            </w:r>
            <w:r w:rsidR="00D954A1" w:rsidRPr="007E7C37">
              <w:rPr>
                <w:sz w:val="20"/>
                <w:szCs w:val="20"/>
              </w:rPr>
              <w:t xml:space="preserve">. Gulfstream PS is situated in a low socio-economic area and has a diverse range of cultural backgrounds (students and staff). </w:t>
            </w:r>
            <w:r w:rsidR="00903278" w:rsidRPr="007E7C37">
              <w:rPr>
                <w:sz w:val="20"/>
                <w:szCs w:val="20"/>
              </w:rPr>
              <w:t xml:space="preserve">There are approximately 529 students in the school and a staff of approximately 60. </w:t>
            </w:r>
            <w:r w:rsidR="00D954A1" w:rsidRPr="007E7C37">
              <w:rPr>
                <w:sz w:val="20"/>
                <w:szCs w:val="20"/>
              </w:rPr>
              <w:t>The school also operates 4 Developmentally Delayed classes.</w:t>
            </w:r>
          </w:p>
          <w:p w:rsidR="00C9150E" w:rsidRPr="007E7C37" w:rsidRDefault="00D954A1" w:rsidP="005A75DC">
            <w:pPr>
              <w:rPr>
                <w:sz w:val="20"/>
                <w:szCs w:val="20"/>
              </w:rPr>
            </w:pPr>
            <w:r w:rsidRPr="007E7C37">
              <w:rPr>
                <w:sz w:val="20"/>
                <w:szCs w:val="20"/>
              </w:rPr>
              <w:t>Sep</w:t>
            </w:r>
            <w:r w:rsidR="00C9150E" w:rsidRPr="007E7C37">
              <w:rPr>
                <w:sz w:val="20"/>
                <w:szCs w:val="20"/>
              </w:rPr>
              <w:t>tember23rd – October 3</w:t>
            </w:r>
            <w:r w:rsidR="00C9150E" w:rsidRPr="007E7C37">
              <w:rPr>
                <w:sz w:val="20"/>
                <w:szCs w:val="20"/>
                <w:vertAlign w:val="superscript"/>
              </w:rPr>
              <w:t>rd</w:t>
            </w:r>
            <w:r w:rsidR="00C9150E" w:rsidRPr="007E7C37">
              <w:rPr>
                <w:sz w:val="20"/>
                <w:szCs w:val="20"/>
              </w:rPr>
              <w:t xml:space="preserve"> 2012</w:t>
            </w:r>
          </w:p>
        </w:tc>
      </w:tr>
      <w:tr w:rsidR="005A75DC" w:rsidRPr="007E7C37" w:rsidTr="005A75DC">
        <w:tc>
          <w:tcPr>
            <w:tcW w:w="2310" w:type="dxa"/>
          </w:tcPr>
          <w:p w:rsidR="005A75DC" w:rsidRPr="007E7C37" w:rsidRDefault="005A75DC" w:rsidP="005A75DC">
            <w:pPr>
              <w:jc w:val="center"/>
              <w:rPr>
                <w:sz w:val="20"/>
                <w:szCs w:val="20"/>
              </w:rPr>
            </w:pPr>
            <w:r w:rsidRPr="007E7C37">
              <w:rPr>
                <w:sz w:val="20"/>
                <w:szCs w:val="20"/>
              </w:rPr>
              <w:t>Research methods</w:t>
            </w:r>
          </w:p>
          <w:p w:rsidR="005A75DC" w:rsidRPr="007E7C37" w:rsidRDefault="005A75DC" w:rsidP="005A75DC">
            <w:pPr>
              <w:jc w:val="center"/>
              <w:rPr>
                <w:sz w:val="20"/>
                <w:szCs w:val="20"/>
              </w:rPr>
            </w:pPr>
            <w:r w:rsidRPr="007E7C37">
              <w:rPr>
                <w:sz w:val="20"/>
                <w:szCs w:val="20"/>
              </w:rPr>
              <w:t>(The How)</w:t>
            </w:r>
          </w:p>
          <w:p w:rsidR="005A75DC" w:rsidRPr="007E7C37" w:rsidRDefault="005A75DC" w:rsidP="005A75DC">
            <w:pPr>
              <w:jc w:val="center"/>
              <w:rPr>
                <w:sz w:val="20"/>
                <w:szCs w:val="20"/>
              </w:rPr>
            </w:pPr>
          </w:p>
          <w:p w:rsidR="005A75DC" w:rsidRPr="007E7C37" w:rsidRDefault="005A75DC" w:rsidP="005A75DC">
            <w:pPr>
              <w:jc w:val="center"/>
              <w:rPr>
                <w:sz w:val="20"/>
                <w:szCs w:val="20"/>
              </w:rPr>
            </w:pPr>
          </w:p>
        </w:tc>
        <w:tc>
          <w:tcPr>
            <w:tcW w:w="7012" w:type="dxa"/>
          </w:tcPr>
          <w:p w:rsidR="005A75DC" w:rsidRPr="007E7C37" w:rsidRDefault="00C9150E" w:rsidP="005A75DC">
            <w:pPr>
              <w:rPr>
                <w:sz w:val="20"/>
                <w:szCs w:val="20"/>
              </w:rPr>
            </w:pPr>
            <w:r w:rsidRPr="007E7C37">
              <w:rPr>
                <w:sz w:val="20"/>
                <w:szCs w:val="20"/>
              </w:rPr>
              <w:t>School Systems &amp; Process</w:t>
            </w:r>
          </w:p>
          <w:p w:rsidR="00001620" w:rsidRPr="007E7C37" w:rsidRDefault="00001620" w:rsidP="005A75DC">
            <w:pPr>
              <w:rPr>
                <w:sz w:val="20"/>
                <w:szCs w:val="20"/>
              </w:rPr>
            </w:pPr>
            <w:r w:rsidRPr="007E7C37">
              <w:rPr>
                <w:sz w:val="20"/>
                <w:szCs w:val="20"/>
              </w:rPr>
              <w:t>Attendance at Support Team Meetings</w:t>
            </w:r>
          </w:p>
          <w:p w:rsidR="00C9150E" w:rsidRPr="007E7C37" w:rsidRDefault="00C9150E" w:rsidP="005A75DC">
            <w:pPr>
              <w:rPr>
                <w:sz w:val="20"/>
                <w:szCs w:val="20"/>
              </w:rPr>
            </w:pPr>
            <w:r w:rsidRPr="007E7C37">
              <w:rPr>
                <w:sz w:val="20"/>
                <w:szCs w:val="20"/>
              </w:rPr>
              <w:t>Classroom Observations</w:t>
            </w:r>
          </w:p>
          <w:p w:rsidR="00C9150E" w:rsidRPr="007E7C37" w:rsidRDefault="00C9150E" w:rsidP="005A75DC">
            <w:pPr>
              <w:rPr>
                <w:sz w:val="20"/>
                <w:szCs w:val="20"/>
              </w:rPr>
            </w:pPr>
            <w:r w:rsidRPr="007E7C37">
              <w:rPr>
                <w:sz w:val="20"/>
                <w:szCs w:val="20"/>
              </w:rPr>
              <w:t>Discussions with Support Personnel</w:t>
            </w:r>
          </w:p>
        </w:tc>
      </w:tr>
      <w:tr w:rsidR="005A75DC" w:rsidRPr="007E7C37" w:rsidTr="005A75DC">
        <w:tc>
          <w:tcPr>
            <w:tcW w:w="2310" w:type="dxa"/>
          </w:tcPr>
          <w:p w:rsidR="005A75DC" w:rsidRPr="007E7C37" w:rsidRDefault="005A75DC" w:rsidP="005A75DC">
            <w:pPr>
              <w:jc w:val="center"/>
              <w:rPr>
                <w:sz w:val="20"/>
                <w:szCs w:val="20"/>
              </w:rPr>
            </w:pPr>
            <w:r w:rsidRPr="007E7C37">
              <w:rPr>
                <w:sz w:val="20"/>
                <w:szCs w:val="20"/>
              </w:rPr>
              <w:t>Initial findings</w:t>
            </w: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A75DC" w:rsidRPr="007E7C37" w:rsidRDefault="005A75DC" w:rsidP="005A75DC">
            <w:pPr>
              <w:jc w:val="center"/>
              <w:rPr>
                <w:sz w:val="20"/>
                <w:szCs w:val="20"/>
              </w:rPr>
            </w:pPr>
          </w:p>
          <w:p w:rsidR="005C4728" w:rsidRPr="007E7C37" w:rsidRDefault="005C4728" w:rsidP="005A75DC">
            <w:pPr>
              <w:jc w:val="center"/>
              <w:rPr>
                <w:sz w:val="20"/>
                <w:szCs w:val="20"/>
              </w:rPr>
            </w:pPr>
          </w:p>
          <w:p w:rsidR="005C4728" w:rsidRPr="007E7C37" w:rsidRDefault="005C4728" w:rsidP="005A75DC">
            <w:pPr>
              <w:jc w:val="center"/>
              <w:rPr>
                <w:sz w:val="20"/>
                <w:szCs w:val="20"/>
              </w:rPr>
            </w:pPr>
          </w:p>
          <w:p w:rsidR="005C4728" w:rsidRPr="007E7C37" w:rsidRDefault="005C4728" w:rsidP="005A75DC">
            <w:pPr>
              <w:jc w:val="center"/>
              <w:rPr>
                <w:sz w:val="20"/>
                <w:szCs w:val="20"/>
              </w:rPr>
            </w:pPr>
          </w:p>
          <w:p w:rsidR="005C4728" w:rsidRPr="007E7C37" w:rsidRDefault="005C4728" w:rsidP="005A75DC">
            <w:pPr>
              <w:jc w:val="center"/>
              <w:rPr>
                <w:sz w:val="20"/>
                <w:szCs w:val="20"/>
              </w:rPr>
            </w:pPr>
          </w:p>
          <w:p w:rsidR="005A75DC" w:rsidRPr="007E7C37" w:rsidRDefault="005A75DC" w:rsidP="005A75DC">
            <w:pPr>
              <w:jc w:val="center"/>
              <w:rPr>
                <w:sz w:val="20"/>
                <w:szCs w:val="20"/>
              </w:rPr>
            </w:pPr>
          </w:p>
        </w:tc>
        <w:tc>
          <w:tcPr>
            <w:tcW w:w="7012" w:type="dxa"/>
          </w:tcPr>
          <w:p w:rsidR="007C2E64" w:rsidRPr="007E7C37" w:rsidRDefault="007C2E64" w:rsidP="007C2E64">
            <w:pPr>
              <w:pStyle w:val="ListParagraph"/>
              <w:numPr>
                <w:ilvl w:val="0"/>
                <w:numId w:val="1"/>
              </w:numPr>
              <w:rPr>
                <w:sz w:val="20"/>
                <w:szCs w:val="20"/>
              </w:rPr>
            </w:pPr>
            <w:r w:rsidRPr="007E7C37">
              <w:rPr>
                <w:sz w:val="20"/>
                <w:szCs w:val="20"/>
              </w:rPr>
              <w:t>The school is supported through the TDSB Models Schools for Inner Cities Program (157 schools involved). This program provides funding for specific purposes (signage, school packs, specified TPL projects etc) which impacts the whole school as well as allowing for flexible funding (approximately $22,000 in 2012) for the school to use to support the school plan.</w:t>
            </w:r>
          </w:p>
          <w:p w:rsidR="005A75DC" w:rsidRPr="007E7C37" w:rsidRDefault="007C2E64" w:rsidP="007C2E64">
            <w:pPr>
              <w:pStyle w:val="ListParagraph"/>
              <w:ind w:left="360"/>
              <w:rPr>
                <w:sz w:val="20"/>
                <w:szCs w:val="20"/>
              </w:rPr>
            </w:pPr>
            <w:r w:rsidRPr="007E7C37">
              <w:rPr>
                <w:b/>
                <w:sz w:val="20"/>
                <w:szCs w:val="20"/>
              </w:rPr>
              <w:t>Outcome</w:t>
            </w:r>
            <w:r w:rsidRPr="007E7C37">
              <w:rPr>
                <w:sz w:val="20"/>
                <w:szCs w:val="20"/>
              </w:rPr>
              <w:t>:  Improved teacher skills / quality resulting in improved student results as identified through Canadian Achievement Test (CAT4)</w:t>
            </w:r>
          </w:p>
          <w:p w:rsidR="007C2E64" w:rsidRPr="007E7C37" w:rsidRDefault="00446A9E" w:rsidP="007C2E64">
            <w:pPr>
              <w:pStyle w:val="ListParagraph"/>
              <w:numPr>
                <w:ilvl w:val="0"/>
                <w:numId w:val="1"/>
              </w:numPr>
              <w:rPr>
                <w:sz w:val="20"/>
                <w:szCs w:val="20"/>
              </w:rPr>
            </w:pPr>
            <w:r w:rsidRPr="007E7C37">
              <w:rPr>
                <w:sz w:val="20"/>
                <w:szCs w:val="20"/>
              </w:rPr>
              <w:t>Learning Support School Teams. The school runs two specific learning support team models. One team supports individual students referred by class teachers and where personnel within the school can allocate appropriate support. This support may mean accessing the learning assistance program, ESL program, Reading Recovery program etc. The other team consists of school staff as well as members from across the TDSB including special ed. consultants, social workers, psychiatrists etc. This team looks how best to provide support for students with more significant needs. Parents are also invited to attend this team’s meeting.</w:t>
            </w:r>
          </w:p>
          <w:p w:rsidR="00446A9E" w:rsidRPr="007E7C37" w:rsidRDefault="00446A9E" w:rsidP="00446A9E">
            <w:pPr>
              <w:ind w:left="360"/>
              <w:rPr>
                <w:sz w:val="20"/>
                <w:szCs w:val="20"/>
              </w:rPr>
            </w:pPr>
            <w:r w:rsidRPr="007E7C37">
              <w:rPr>
                <w:b/>
                <w:sz w:val="20"/>
                <w:szCs w:val="20"/>
              </w:rPr>
              <w:t>Outcome:</w:t>
            </w:r>
            <w:r w:rsidRPr="007E7C37">
              <w:rPr>
                <w:sz w:val="20"/>
                <w:szCs w:val="20"/>
              </w:rPr>
              <w:t xml:space="preserve"> St</w:t>
            </w:r>
            <w:r w:rsidR="00A62FB3" w:rsidRPr="007E7C37">
              <w:rPr>
                <w:sz w:val="20"/>
                <w:szCs w:val="20"/>
              </w:rPr>
              <w:t>udents who are referred are</w:t>
            </w:r>
            <w:r w:rsidRPr="007E7C37">
              <w:rPr>
                <w:sz w:val="20"/>
                <w:szCs w:val="20"/>
              </w:rPr>
              <w:t xml:space="preserve"> supported through a variety of in school and out of school programs</w:t>
            </w:r>
            <w:r w:rsidR="00A62FB3" w:rsidRPr="007E7C37">
              <w:rPr>
                <w:sz w:val="20"/>
                <w:szCs w:val="20"/>
              </w:rPr>
              <w:t>. Parents are well informed and included throughout the entire process.</w:t>
            </w:r>
          </w:p>
          <w:p w:rsidR="00A62FB3" w:rsidRPr="007E7C37" w:rsidRDefault="00810C4D" w:rsidP="00A62FB3">
            <w:pPr>
              <w:pStyle w:val="ListParagraph"/>
              <w:numPr>
                <w:ilvl w:val="0"/>
                <w:numId w:val="1"/>
              </w:numPr>
              <w:rPr>
                <w:sz w:val="20"/>
                <w:szCs w:val="20"/>
              </w:rPr>
            </w:pPr>
            <w:r w:rsidRPr="007E7C37">
              <w:rPr>
                <w:sz w:val="20"/>
                <w:szCs w:val="20"/>
              </w:rPr>
              <w:t>Provision of Individual Learning Plans to improve academic performance. ILPs are very detailed and are essential as a part of the referral for support system operating within the school.</w:t>
            </w:r>
          </w:p>
          <w:p w:rsidR="007E7C37" w:rsidRDefault="00810C4D" w:rsidP="007E7C37">
            <w:pPr>
              <w:pStyle w:val="ListParagraph"/>
              <w:numPr>
                <w:ilvl w:val="0"/>
                <w:numId w:val="1"/>
              </w:numPr>
              <w:rPr>
                <w:sz w:val="20"/>
                <w:szCs w:val="20"/>
              </w:rPr>
            </w:pPr>
            <w:r w:rsidRPr="007E7C37">
              <w:rPr>
                <w:sz w:val="20"/>
                <w:szCs w:val="20"/>
              </w:rPr>
              <w:t>Developmentally Delayed classes (4) cater for the high support needs of approximately 30 students within the school. Each class has a teacher and a</w:t>
            </w:r>
            <w:r w:rsidR="007E7C37">
              <w:rPr>
                <w:sz w:val="20"/>
                <w:szCs w:val="20"/>
              </w:rPr>
              <w:t xml:space="preserve"> ratio of 2:1</w:t>
            </w:r>
            <w:r w:rsidR="007E7C37" w:rsidRPr="007E7C37">
              <w:rPr>
                <w:sz w:val="20"/>
                <w:szCs w:val="20"/>
              </w:rPr>
              <w:t xml:space="preserve"> support personnel. Class programs are </w:t>
            </w:r>
            <w:proofErr w:type="gramStart"/>
            <w:r w:rsidR="007E7C37" w:rsidRPr="007E7C37">
              <w:rPr>
                <w:sz w:val="20"/>
                <w:szCs w:val="20"/>
              </w:rPr>
              <w:t>very</w:t>
            </w:r>
            <w:proofErr w:type="gramEnd"/>
            <w:r w:rsidR="007E7C37" w:rsidRPr="007E7C37">
              <w:rPr>
                <w:sz w:val="20"/>
                <w:szCs w:val="20"/>
              </w:rPr>
              <w:t xml:space="preserve"> individualised and meet the needs of all individuals within the class. ILPs range in length from 5 to 11 pages and cover all aspects of the student’s high needs, including medical, social, emotional, and academic. The students are integrated during whole school functions and events, and in the playground (with support).</w:t>
            </w:r>
          </w:p>
          <w:p w:rsidR="007E7C37" w:rsidRPr="007E7C37" w:rsidRDefault="007E7C37" w:rsidP="007E7C37">
            <w:pPr>
              <w:pStyle w:val="ListParagraph"/>
              <w:numPr>
                <w:ilvl w:val="0"/>
                <w:numId w:val="1"/>
              </w:numPr>
              <w:rPr>
                <w:sz w:val="20"/>
                <w:szCs w:val="20"/>
              </w:rPr>
            </w:pPr>
            <w:r>
              <w:rPr>
                <w:sz w:val="20"/>
                <w:szCs w:val="20"/>
              </w:rPr>
              <w:t>Two intensive reading classes operate within the school during the morning session. Referred students may be placed in one of these classes for a period of intensive reading support. This happens only with parental</w:t>
            </w:r>
            <w:bookmarkStart w:id="0" w:name="_GoBack"/>
            <w:bookmarkEnd w:id="0"/>
            <w:r>
              <w:rPr>
                <w:sz w:val="20"/>
                <w:szCs w:val="20"/>
              </w:rPr>
              <w:t xml:space="preserve"> permission and support.</w:t>
            </w:r>
          </w:p>
        </w:tc>
      </w:tr>
      <w:tr w:rsidR="005A75DC" w:rsidRPr="007E7C37" w:rsidTr="005A75DC">
        <w:tc>
          <w:tcPr>
            <w:tcW w:w="2310" w:type="dxa"/>
          </w:tcPr>
          <w:p w:rsidR="005A75DC" w:rsidRPr="007E7C37" w:rsidRDefault="005A75DC" w:rsidP="00A660F4">
            <w:pPr>
              <w:jc w:val="center"/>
              <w:rPr>
                <w:sz w:val="20"/>
                <w:szCs w:val="20"/>
              </w:rPr>
            </w:pPr>
            <w:r w:rsidRPr="007E7C37">
              <w:rPr>
                <w:sz w:val="20"/>
                <w:szCs w:val="20"/>
              </w:rPr>
              <w:t>The author</w:t>
            </w:r>
          </w:p>
          <w:p w:rsidR="005A75DC" w:rsidRPr="007E7C37" w:rsidRDefault="005A75DC" w:rsidP="005A75DC">
            <w:pPr>
              <w:jc w:val="center"/>
              <w:rPr>
                <w:sz w:val="20"/>
                <w:szCs w:val="20"/>
              </w:rPr>
            </w:pPr>
          </w:p>
          <w:p w:rsidR="00D954A1" w:rsidRPr="007E7C37" w:rsidRDefault="00D954A1" w:rsidP="005A75DC">
            <w:pPr>
              <w:jc w:val="center"/>
              <w:rPr>
                <w:sz w:val="20"/>
                <w:szCs w:val="20"/>
              </w:rPr>
            </w:pPr>
          </w:p>
          <w:p w:rsidR="005A75DC" w:rsidRPr="007E7C37" w:rsidRDefault="005A75DC" w:rsidP="005A75DC">
            <w:pPr>
              <w:jc w:val="center"/>
              <w:rPr>
                <w:sz w:val="20"/>
                <w:szCs w:val="20"/>
              </w:rPr>
            </w:pPr>
            <w:r w:rsidRPr="007E7C37">
              <w:rPr>
                <w:sz w:val="20"/>
                <w:szCs w:val="20"/>
              </w:rPr>
              <w:t>For further information contact:</w:t>
            </w:r>
          </w:p>
        </w:tc>
        <w:tc>
          <w:tcPr>
            <w:tcW w:w="7012" w:type="dxa"/>
          </w:tcPr>
          <w:p w:rsidR="005A75DC" w:rsidRPr="007E7C37" w:rsidRDefault="005A75DC" w:rsidP="005A75DC">
            <w:pPr>
              <w:rPr>
                <w:sz w:val="20"/>
                <w:szCs w:val="20"/>
              </w:rPr>
            </w:pPr>
            <w:r w:rsidRPr="007E7C37">
              <w:rPr>
                <w:sz w:val="20"/>
                <w:szCs w:val="20"/>
              </w:rPr>
              <w:t>Name:</w:t>
            </w:r>
            <w:r w:rsidR="00001620" w:rsidRPr="007E7C37">
              <w:rPr>
                <w:sz w:val="20"/>
                <w:szCs w:val="20"/>
              </w:rPr>
              <w:t xml:space="preserve"> Dale Bruce</w:t>
            </w:r>
          </w:p>
          <w:p w:rsidR="005A75DC" w:rsidRPr="007E7C37" w:rsidRDefault="005A75DC" w:rsidP="005A75DC">
            <w:pPr>
              <w:rPr>
                <w:sz w:val="20"/>
                <w:szCs w:val="20"/>
              </w:rPr>
            </w:pPr>
            <w:r w:rsidRPr="007E7C37">
              <w:rPr>
                <w:sz w:val="20"/>
                <w:szCs w:val="20"/>
              </w:rPr>
              <w:t>School/work place:</w:t>
            </w:r>
            <w:r w:rsidR="00001620" w:rsidRPr="007E7C37">
              <w:rPr>
                <w:sz w:val="20"/>
                <w:szCs w:val="20"/>
              </w:rPr>
              <w:t xml:space="preserve"> James Erskine Public School</w:t>
            </w:r>
          </w:p>
          <w:p w:rsidR="005A75DC" w:rsidRPr="007E7C37" w:rsidRDefault="005A75DC" w:rsidP="005A75DC">
            <w:pPr>
              <w:rPr>
                <w:sz w:val="20"/>
                <w:szCs w:val="20"/>
              </w:rPr>
            </w:pPr>
          </w:p>
          <w:p w:rsidR="005C4728" w:rsidRPr="007E7C37" w:rsidRDefault="005C4728" w:rsidP="005A75DC">
            <w:pPr>
              <w:rPr>
                <w:sz w:val="20"/>
                <w:szCs w:val="20"/>
              </w:rPr>
            </w:pPr>
            <w:r w:rsidRPr="007E7C37">
              <w:rPr>
                <w:sz w:val="20"/>
                <w:szCs w:val="20"/>
              </w:rPr>
              <w:t>Email:</w:t>
            </w:r>
            <w:r w:rsidR="00001620" w:rsidRPr="007E7C37">
              <w:rPr>
                <w:sz w:val="20"/>
                <w:szCs w:val="20"/>
              </w:rPr>
              <w:t xml:space="preserve"> dale.bruce@det.nsw.edu.au</w:t>
            </w:r>
          </w:p>
          <w:p w:rsidR="005A75DC" w:rsidRPr="007E7C37" w:rsidRDefault="005C4728" w:rsidP="005A75DC">
            <w:pPr>
              <w:rPr>
                <w:sz w:val="20"/>
                <w:szCs w:val="20"/>
              </w:rPr>
            </w:pPr>
            <w:r w:rsidRPr="007E7C37">
              <w:rPr>
                <w:sz w:val="20"/>
                <w:szCs w:val="20"/>
              </w:rPr>
              <w:t>Phone:</w:t>
            </w:r>
            <w:r w:rsidR="00001620" w:rsidRPr="007E7C37">
              <w:rPr>
                <w:sz w:val="20"/>
                <w:szCs w:val="20"/>
              </w:rPr>
              <w:t xml:space="preserve"> 9834 3009</w:t>
            </w:r>
          </w:p>
        </w:tc>
      </w:tr>
    </w:tbl>
    <w:p w:rsidR="005A75DC" w:rsidRDefault="005A75DC" w:rsidP="005A75DC"/>
    <w:sectPr w:rsidR="005A75DC" w:rsidSect="007E7C37">
      <w:pgSz w:w="11906" w:h="16838"/>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10" w:rsidRDefault="00C32B10" w:rsidP="005A75DC">
      <w:pPr>
        <w:spacing w:after="0" w:line="240" w:lineRule="auto"/>
      </w:pPr>
      <w:r>
        <w:separator/>
      </w:r>
    </w:p>
  </w:endnote>
  <w:endnote w:type="continuationSeparator" w:id="0">
    <w:p w:rsidR="00C32B10" w:rsidRDefault="00C32B10"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10" w:rsidRDefault="00C32B10" w:rsidP="005A75DC">
      <w:pPr>
        <w:spacing w:after="0" w:line="240" w:lineRule="auto"/>
      </w:pPr>
      <w:r>
        <w:separator/>
      </w:r>
    </w:p>
  </w:footnote>
  <w:footnote w:type="continuationSeparator" w:id="0">
    <w:p w:rsidR="00C32B10" w:rsidRDefault="00C32B10"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60771"/>
    <w:multiLevelType w:val="hybridMultilevel"/>
    <w:tmpl w:val="1E6A3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57103"/>
    <w:rsid w:val="00001620"/>
    <w:rsid w:val="00057103"/>
    <w:rsid w:val="00221610"/>
    <w:rsid w:val="00446A9E"/>
    <w:rsid w:val="005A75DC"/>
    <w:rsid w:val="005C4728"/>
    <w:rsid w:val="007C2E64"/>
    <w:rsid w:val="007E7C37"/>
    <w:rsid w:val="00810C4D"/>
    <w:rsid w:val="00903278"/>
    <w:rsid w:val="00A62FB3"/>
    <w:rsid w:val="00A660F4"/>
    <w:rsid w:val="00A92EBA"/>
    <w:rsid w:val="00BF1D40"/>
    <w:rsid w:val="00C32B10"/>
    <w:rsid w:val="00C9150E"/>
    <w:rsid w:val="00CC76A8"/>
    <w:rsid w:val="00D94585"/>
    <w:rsid w:val="00D954A1"/>
    <w:rsid w:val="00D96D91"/>
    <w:rsid w:val="00DD0414"/>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2015-01-12T07:34:00Z</dcterms:created>
  <dcterms:modified xsi:type="dcterms:W3CDTF">2015-01-12T07:34:00Z</dcterms:modified>
</cp:coreProperties>
</file>