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lang w:eastAsia="en-AU"/>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209675"/>
            <wp:effectExtent l="19050" t="0" r="0" b="0"/>
            <wp:wrapTight wrapText="bothSides">
              <wp:wrapPolygon edited="0">
                <wp:start x="-162" y="0"/>
                <wp:lineTo x="-162" y="21430"/>
                <wp:lineTo x="21600" y="21430"/>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2096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5A75DC" w:rsidP="005A75DC">
      <w:pPr>
        <w:jc w:val="center"/>
        <w:rPr>
          <w:b/>
          <w:noProof/>
          <w:lang w:eastAsia="zh-TW"/>
        </w:rPr>
      </w:pPr>
      <w:r w:rsidRPr="005A75DC">
        <w:rPr>
          <w:b/>
          <w:noProof/>
          <w:lang w:eastAsia="zh-TW"/>
        </w:rPr>
        <w:t>LEAP Action Learning Report 2012</w:t>
      </w:r>
    </w:p>
    <w:tbl>
      <w:tblPr>
        <w:tblStyle w:val="TableGrid"/>
        <w:tblW w:w="9322" w:type="dxa"/>
        <w:tblLook w:val="04A0"/>
      </w:tblPr>
      <w:tblGrid>
        <w:gridCol w:w="1279"/>
        <w:gridCol w:w="8043"/>
      </w:tblGrid>
      <w:tr w:rsidR="005A75DC" w:rsidTr="00F15706">
        <w:tc>
          <w:tcPr>
            <w:tcW w:w="1279" w:type="dxa"/>
          </w:tcPr>
          <w:p w:rsidR="005A75DC" w:rsidRDefault="005A75DC" w:rsidP="005A75DC">
            <w:pPr>
              <w:jc w:val="center"/>
            </w:pPr>
            <w:r>
              <w:t>Topic area</w:t>
            </w:r>
          </w:p>
          <w:p w:rsidR="005A75DC" w:rsidRDefault="005A75DC" w:rsidP="005A75DC">
            <w:pPr>
              <w:jc w:val="center"/>
            </w:pPr>
            <w:r>
              <w:t>(The What)</w:t>
            </w:r>
          </w:p>
          <w:p w:rsidR="005A75DC" w:rsidRDefault="005A75DC" w:rsidP="00F15706"/>
        </w:tc>
        <w:tc>
          <w:tcPr>
            <w:tcW w:w="8043" w:type="dxa"/>
          </w:tcPr>
          <w:p w:rsidR="005A75DC" w:rsidRDefault="004B1829" w:rsidP="005A75DC">
            <w:r>
              <w:t>Managing Change ‘Prolonged Equilibrium in Schools is a Precursor to Disaster’…..the Courageous Leadership Imperative.</w:t>
            </w:r>
          </w:p>
        </w:tc>
      </w:tr>
      <w:tr w:rsidR="005A75DC" w:rsidTr="00F15706">
        <w:tc>
          <w:tcPr>
            <w:tcW w:w="1279" w:type="dxa"/>
          </w:tcPr>
          <w:p w:rsidR="005A75DC" w:rsidRDefault="005A75DC" w:rsidP="005A75DC">
            <w:pPr>
              <w:jc w:val="center"/>
            </w:pPr>
            <w:r>
              <w:t>Context</w:t>
            </w:r>
          </w:p>
          <w:p w:rsidR="005A75DC" w:rsidRDefault="005A75DC" w:rsidP="00CA7556">
            <w:pPr>
              <w:jc w:val="center"/>
            </w:pPr>
            <w:r>
              <w:t>(The Where and When)</w:t>
            </w:r>
          </w:p>
          <w:p w:rsidR="00CA7556" w:rsidRDefault="00CA7556" w:rsidP="00CA7556">
            <w:pPr>
              <w:jc w:val="center"/>
            </w:pPr>
          </w:p>
        </w:tc>
        <w:tc>
          <w:tcPr>
            <w:tcW w:w="8043" w:type="dxa"/>
          </w:tcPr>
          <w:p w:rsidR="005A75DC" w:rsidRDefault="004B1829" w:rsidP="005A75DC">
            <w:r>
              <w:t xml:space="preserve">Central Technical High School, Toronto District Schools Board, Ontario Province, Canada; </w:t>
            </w:r>
            <w:r w:rsidR="00B24729">
              <w:t xml:space="preserve"> </w:t>
            </w:r>
            <w:bookmarkStart w:id="0" w:name="_GoBack"/>
            <w:bookmarkEnd w:id="0"/>
            <w:r>
              <w:t>and</w:t>
            </w:r>
          </w:p>
          <w:p w:rsidR="004B1829" w:rsidRDefault="004B1829" w:rsidP="004B1829">
            <w:r>
              <w:t>Whitebridge High School, Hunter/Central Coast 7, NSW Department of Education and Communities.</w:t>
            </w:r>
          </w:p>
        </w:tc>
      </w:tr>
      <w:tr w:rsidR="005A75DC" w:rsidTr="00F15706">
        <w:tc>
          <w:tcPr>
            <w:tcW w:w="1279" w:type="dxa"/>
          </w:tcPr>
          <w:p w:rsidR="005A75DC" w:rsidRDefault="005A75DC" w:rsidP="005A75DC">
            <w:pPr>
              <w:jc w:val="center"/>
            </w:pPr>
            <w:r>
              <w:t>Research methods</w:t>
            </w:r>
          </w:p>
          <w:p w:rsidR="005A75DC" w:rsidRDefault="005A75DC" w:rsidP="00F15706">
            <w:pPr>
              <w:jc w:val="center"/>
            </w:pPr>
            <w:r>
              <w:t>(The How)</w:t>
            </w:r>
          </w:p>
        </w:tc>
        <w:tc>
          <w:tcPr>
            <w:tcW w:w="8043" w:type="dxa"/>
          </w:tcPr>
          <w:p w:rsidR="005A75DC" w:rsidRDefault="004B1829" w:rsidP="005A75DC">
            <w:r>
              <w:t xml:space="preserve">Qualitative  </w:t>
            </w:r>
            <w:r w:rsidR="00B67B7B">
              <w:t xml:space="preserve">narrative </w:t>
            </w:r>
            <w:r>
              <w:t>comme</w:t>
            </w:r>
            <w:r w:rsidR="00B67B7B">
              <w:t xml:space="preserve">ntary, employing a longitudinal object and subjective </w:t>
            </w:r>
            <w:r>
              <w:t xml:space="preserve"> analysis of both sites over </w:t>
            </w:r>
            <w:r w:rsidR="00B67B7B">
              <w:t xml:space="preserve"> a 10 month period September 2012 to August 2013</w:t>
            </w:r>
          </w:p>
        </w:tc>
      </w:tr>
      <w:tr w:rsidR="005A75DC" w:rsidTr="00F15706">
        <w:tc>
          <w:tcPr>
            <w:tcW w:w="1279" w:type="dxa"/>
          </w:tcPr>
          <w:p w:rsidR="005A75DC" w:rsidRDefault="005A75DC" w:rsidP="005A75DC">
            <w:pPr>
              <w:jc w:val="center"/>
            </w:pPr>
            <w:r>
              <w:t xml:space="preserve">Initial </w:t>
            </w:r>
            <w:r w:rsidR="00571012">
              <w:t xml:space="preserve">major </w:t>
            </w:r>
            <w:r>
              <w:t>findings</w:t>
            </w:r>
          </w:p>
          <w:p w:rsidR="00571012" w:rsidRDefault="00571012" w:rsidP="005A75DC">
            <w:pPr>
              <w:jc w:val="center"/>
            </w:pPr>
            <w:r>
              <w:t>(preferably in dot-point form)</w:t>
            </w: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A75DC" w:rsidRDefault="005A75DC" w:rsidP="005A75DC">
            <w:pPr>
              <w:jc w:val="center"/>
            </w:pPr>
          </w:p>
          <w:p w:rsidR="005C4728" w:rsidRDefault="005C4728" w:rsidP="005A75DC">
            <w:pPr>
              <w:jc w:val="center"/>
            </w:pPr>
          </w:p>
          <w:p w:rsidR="005C4728" w:rsidRDefault="005C4728" w:rsidP="00571012"/>
          <w:p w:rsidR="005A75DC" w:rsidRDefault="005A75DC" w:rsidP="00571012"/>
        </w:tc>
        <w:tc>
          <w:tcPr>
            <w:tcW w:w="8043" w:type="dxa"/>
          </w:tcPr>
          <w:p w:rsidR="005A75DC" w:rsidRDefault="00B67B7B" w:rsidP="00B67B7B">
            <w:pPr>
              <w:pStyle w:val="ListParagraph"/>
              <w:numPr>
                <w:ilvl w:val="0"/>
                <w:numId w:val="1"/>
              </w:numPr>
            </w:pPr>
            <w:r>
              <w:t xml:space="preserve">There is a demand </w:t>
            </w:r>
            <w:r w:rsidR="00B24729">
              <w:t>f</w:t>
            </w:r>
            <w:r>
              <w:t>or system change or renewal across education systems in western world countries.</w:t>
            </w:r>
          </w:p>
          <w:p w:rsidR="00B67B7B" w:rsidRDefault="00B67B7B" w:rsidP="00B67B7B">
            <w:pPr>
              <w:pStyle w:val="ListParagraph"/>
              <w:numPr>
                <w:ilvl w:val="0"/>
                <w:numId w:val="1"/>
              </w:numPr>
            </w:pPr>
            <w:r>
              <w:t>That change is enabled by a range of drivers or</w:t>
            </w:r>
            <w:r w:rsidR="00B24729">
              <w:t xml:space="preserve"> imperatives that hold student </w:t>
            </w:r>
            <w:r>
              <w:t>outcomes as an indicator of national economic   and population wellbeing.</w:t>
            </w:r>
          </w:p>
          <w:p w:rsidR="00B67B7B" w:rsidRDefault="00B67B7B" w:rsidP="00B67B7B">
            <w:pPr>
              <w:pStyle w:val="ListParagraph"/>
              <w:numPr>
                <w:ilvl w:val="0"/>
                <w:numId w:val="1"/>
              </w:numPr>
            </w:pPr>
            <w:r>
              <w:t>That change is driven by the development and use of new and more efficient technologies in lifestyles and in learning and pedagogy.</w:t>
            </w:r>
          </w:p>
          <w:p w:rsidR="00B67B7B" w:rsidRDefault="00B67B7B" w:rsidP="00B67B7B">
            <w:pPr>
              <w:pStyle w:val="ListParagraph"/>
              <w:numPr>
                <w:ilvl w:val="0"/>
                <w:numId w:val="1"/>
              </w:numPr>
            </w:pPr>
            <w:r>
              <w:t>The change i</w:t>
            </w:r>
            <w:r w:rsidR="006E49A3">
              <w:t>s driven to meet projected demands in skill base development for industry and notion building as well as addressing known deficits in skill shortage areas.</w:t>
            </w:r>
          </w:p>
          <w:p w:rsidR="006E49A3" w:rsidRDefault="006E49A3" w:rsidP="006E49A3">
            <w:pPr>
              <w:pStyle w:val="ListParagraph"/>
              <w:numPr>
                <w:ilvl w:val="0"/>
                <w:numId w:val="1"/>
              </w:numPr>
            </w:pPr>
            <w:r>
              <w:t xml:space="preserve">That change at the school level not only evolves but is </w:t>
            </w:r>
            <w:r w:rsidR="00443B13">
              <w:t>led</w:t>
            </w:r>
            <w:r>
              <w:t xml:space="preserve"> by the by the staff of schools, with the principal being the prime leader.</w:t>
            </w:r>
          </w:p>
          <w:p w:rsidR="006E49A3" w:rsidRDefault="006E49A3" w:rsidP="006E49A3">
            <w:pPr>
              <w:pStyle w:val="ListParagraph"/>
              <w:numPr>
                <w:ilvl w:val="0"/>
                <w:numId w:val="1"/>
              </w:numPr>
            </w:pPr>
            <w:r>
              <w:t>That while there is an imperative for change in schools to assist in building capacity for increased national economic growth and wellbeing there is an inherent tension in schools to resist change and continue with familiar practices for a range of reasons.</w:t>
            </w:r>
          </w:p>
          <w:p w:rsidR="006E49A3" w:rsidRDefault="0073698C" w:rsidP="006E49A3">
            <w:pPr>
              <w:pStyle w:val="ListParagraph"/>
              <w:numPr>
                <w:ilvl w:val="0"/>
                <w:numId w:val="1"/>
              </w:numPr>
            </w:pPr>
            <w:r>
              <w:t>That t</w:t>
            </w:r>
            <w:r w:rsidR="006E49A3">
              <w:t>here is a demand for a courageous leadership imperative to overcome the inertia of familiar historical practices</w:t>
            </w:r>
            <w:r w:rsidR="00B24729">
              <w:t xml:space="preserve"> in schools </w:t>
            </w:r>
            <w:r w:rsidR="006E49A3">
              <w:t>to bring out creativity and innovation in educational service delivery.</w:t>
            </w:r>
          </w:p>
          <w:p w:rsidR="006E49A3" w:rsidRDefault="0073698C" w:rsidP="0073698C">
            <w:pPr>
              <w:pStyle w:val="ListParagraph"/>
              <w:numPr>
                <w:ilvl w:val="0"/>
                <w:numId w:val="1"/>
              </w:numPr>
            </w:pPr>
            <w:r>
              <w:t>That t</w:t>
            </w:r>
            <w:r w:rsidR="006E49A3">
              <w:t>he use of collegial shadowing</w:t>
            </w:r>
            <w:r>
              <w:t>,</w:t>
            </w:r>
            <w:r w:rsidR="006E49A3">
              <w:t xml:space="preserve"> on an international perspective</w:t>
            </w:r>
            <w:r>
              <w:t xml:space="preserve">, </w:t>
            </w:r>
            <w:r w:rsidR="006E49A3">
              <w:t xml:space="preserve"> to allow a greater</w:t>
            </w:r>
            <w:r>
              <w:t xml:space="preserve"> and more sophisticated </w:t>
            </w:r>
            <w:r w:rsidR="006E49A3">
              <w:t xml:space="preserve"> understanding of the internal strength of </w:t>
            </w:r>
            <w:r>
              <w:t>a school leader in two (2) different education systems is of benefit to both parties</w:t>
            </w:r>
          </w:p>
          <w:p w:rsidR="0073698C" w:rsidRDefault="0073698C" w:rsidP="0073698C">
            <w:pPr>
              <w:pStyle w:val="ListParagraph"/>
              <w:numPr>
                <w:ilvl w:val="0"/>
                <w:numId w:val="1"/>
              </w:numPr>
            </w:pPr>
            <w:r>
              <w:t>The use of the NSW DEC Leadership Capability Framework in creating the context for change and comparison of that framework with the Ontario Leadership Framework 2012.</w:t>
            </w:r>
          </w:p>
          <w:p w:rsidR="0073698C" w:rsidRDefault="0073698C" w:rsidP="0073698C">
            <w:pPr>
              <w:pStyle w:val="ListParagraph"/>
              <w:numPr>
                <w:ilvl w:val="0"/>
                <w:numId w:val="1"/>
              </w:numPr>
            </w:pPr>
            <w:r>
              <w:t>The use of team or faculty leaders to mobilise innovation and creative responses in terms of risk taking to generate fresh / new approaches to more effective pedagogy and pastoral care for students.</w:t>
            </w:r>
          </w:p>
        </w:tc>
      </w:tr>
      <w:tr w:rsidR="005A75DC" w:rsidTr="00F15706">
        <w:tc>
          <w:tcPr>
            <w:tcW w:w="1279" w:type="dxa"/>
          </w:tcPr>
          <w:p w:rsidR="005A75DC" w:rsidRDefault="005A75DC" w:rsidP="00F15706">
            <w:pPr>
              <w:jc w:val="center"/>
            </w:pPr>
            <w:r>
              <w:t>The author</w:t>
            </w:r>
          </w:p>
          <w:p w:rsidR="005A75DC" w:rsidRDefault="005A75DC" w:rsidP="005A75DC">
            <w:pPr>
              <w:jc w:val="center"/>
            </w:pPr>
            <w:r>
              <w:t>For further information contact:</w:t>
            </w:r>
          </w:p>
        </w:tc>
        <w:tc>
          <w:tcPr>
            <w:tcW w:w="8043" w:type="dxa"/>
          </w:tcPr>
          <w:p w:rsidR="005A75DC" w:rsidRDefault="005A75DC" w:rsidP="005A75DC">
            <w:r>
              <w:t>Name:</w:t>
            </w:r>
            <w:r w:rsidR="0073698C">
              <w:t xml:space="preserve">   Ian Wilson</w:t>
            </w:r>
          </w:p>
          <w:p w:rsidR="00CA7556" w:rsidRDefault="005A75DC" w:rsidP="005A75DC">
            <w:r>
              <w:t>School/work place:</w:t>
            </w:r>
            <w:r w:rsidR="0073698C">
              <w:t xml:space="preserve">    Whitebridge High School</w:t>
            </w:r>
          </w:p>
          <w:p w:rsidR="005C4728" w:rsidRDefault="005A75DC" w:rsidP="005A75DC">
            <w:r>
              <w:t>Contacts:</w:t>
            </w:r>
            <w:r w:rsidR="00B24729">
              <w:t xml:space="preserve">   </w:t>
            </w:r>
            <w:r w:rsidR="005C4728">
              <w:t>Email:</w:t>
            </w:r>
            <w:r w:rsidR="00B24729">
              <w:t xml:space="preserve">    </w:t>
            </w:r>
            <w:hyperlink r:id="rId8" w:history="1">
              <w:r w:rsidR="00F15706" w:rsidRPr="003838C0">
                <w:rPr>
                  <w:rStyle w:val="Hyperlink"/>
                </w:rPr>
                <w:t>ian.wilson@det.nsw.edu.au</w:t>
              </w:r>
            </w:hyperlink>
            <w:r w:rsidR="00F15706">
              <w:t>; Phone:   0438 596676</w:t>
            </w:r>
          </w:p>
          <w:p w:rsidR="005A75DC" w:rsidRDefault="005A75DC" w:rsidP="005A75DC"/>
        </w:tc>
      </w:tr>
    </w:tbl>
    <w:p w:rsidR="005A75DC" w:rsidRDefault="005A75DC" w:rsidP="005A75DC"/>
    <w:sectPr w:rsidR="005A75DC" w:rsidSect="00DD04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869" w:rsidRDefault="00326869" w:rsidP="005A75DC">
      <w:pPr>
        <w:spacing w:after="0" w:line="240" w:lineRule="auto"/>
      </w:pPr>
      <w:r>
        <w:separator/>
      </w:r>
    </w:p>
  </w:endnote>
  <w:endnote w:type="continuationSeparator" w:id="0">
    <w:p w:rsidR="00326869" w:rsidRDefault="00326869"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869" w:rsidRDefault="00326869" w:rsidP="005A75DC">
      <w:pPr>
        <w:spacing w:after="0" w:line="240" w:lineRule="auto"/>
      </w:pPr>
      <w:r>
        <w:separator/>
      </w:r>
    </w:p>
  </w:footnote>
  <w:footnote w:type="continuationSeparator" w:id="0">
    <w:p w:rsidR="00326869" w:rsidRDefault="00326869"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1B51"/>
    <w:multiLevelType w:val="hybridMultilevel"/>
    <w:tmpl w:val="524C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
  <w:rsids>
    <w:rsidRoot w:val="00057103"/>
    <w:rsid w:val="00057103"/>
    <w:rsid w:val="001B629C"/>
    <w:rsid w:val="002F2E02"/>
    <w:rsid w:val="00326869"/>
    <w:rsid w:val="00443B13"/>
    <w:rsid w:val="00444648"/>
    <w:rsid w:val="004B1829"/>
    <w:rsid w:val="00571012"/>
    <w:rsid w:val="005A75DC"/>
    <w:rsid w:val="005C4728"/>
    <w:rsid w:val="006E49A3"/>
    <w:rsid w:val="0070413A"/>
    <w:rsid w:val="0073698C"/>
    <w:rsid w:val="00751AF3"/>
    <w:rsid w:val="007A42E2"/>
    <w:rsid w:val="00910664"/>
    <w:rsid w:val="00A660F4"/>
    <w:rsid w:val="00A92EBA"/>
    <w:rsid w:val="00B24729"/>
    <w:rsid w:val="00B67B7B"/>
    <w:rsid w:val="00CA7556"/>
    <w:rsid w:val="00CC76A8"/>
    <w:rsid w:val="00DD0414"/>
    <w:rsid w:val="00F15706"/>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B7B"/>
    <w:pPr>
      <w:ind w:left="720"/>
      <w:contextualSpacing/>
    </w:pPr>
  </w:style>
  <w:style w:type="character" w:styleId="Hyperlink">
    <w:name w:val="Hyperlink"/>
    <w:basedOn w:val="DefaultParagraphFont"/>
    <w:uiPriority w:val="99"/>
    <w:unhideWhenUsed/>
    <w:rsid w:val="00F15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7B7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wilson@det.nsw.edu.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cp:lastPrinted>2012-11-02T10:01:00Z</cp:lastPrinted>
  <dcterms:created xsi:type="dcterms:W3CDTF">2015-01-12T07:36:00Z</dcterms:created>
  <dcterms:modified xsi:type="dcterms:W3CDTF">2015-01-12T07:36:00Z</dcterms:modified>
</cp:coreProperties>
</file>