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5DC" w:rsidRDefault="005A75DC" w:rsidP="00057103">
      <w:pPr>
        <w:jc w:val="right"/>
        <w:rPr>
          <w:noProof/>
          <w:lang w:eastAsia="zh-TW"/>
        </w:rPr>
      </w:pPr>
      <w:r w:rsidRPr="005A75DC">
        <w:rPr>
          <w:noProof/>
          <w:lang w:eastAsia="en-AU"/>
        </w:rPr>
        <w:drawing>
          <wp:anchor distT="36576" distB="36576" distL="36576" distR="36576" simplePos="0" relativeHeight="251659264" behindDoc="1" locked="0" layoutInCell="1" allowOverlap="1">
            <wp:simplePos x="0" y="0"/>
            <wp:positionH relativeFrom="column">
              <wp:posOffset>1628775</wp:posOffset>
            </wp:positionH>
            <wp:positionV relativeFrom="paragraph">
              <wp:posOffset>-533400</wp:posOffset>
            </wp:positionV>
            <wp:extent cx="2533650" cy="1323975"/>
            <wp:effectExtent l="19050" t="0" r="0" b="0"/>
            <wp:wrapTight wrapText="bothSides">
              <wp:wrapPolygon edited="0">
                <wp:start x="-162" y="0"/>
                <wp:lineTo x="-162" y="21445"/>
                <wp:lineTo x="21600" y="21445"/>
                <wp:lineTo x="21600" y="0"/>
                <wp:lineTo x="-162" y="0"/>
              </wp:wrapPolygon>
            </wp:wrapTight>
            <wp:docPr id="1" name="Picture 2" descr="LEAP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P logo 2"/>
                    <pic:cNvPicPr>
                      <a:picLocks noChangeAspect="1" noChangeArrowheads="1"/>
                    </pic:cNvPicPr>
                  </pic:nvPicPr>
                  <pic:blipFill>
                    <a:blip r:embed="rId7" cstate="print"/>
                    <a:srcRect/>
                    <a:stretch>
                      <a:fillRect/>
                    </a:stretch>
                  </pic:blipFill>
                  <pic:spPr bwMode="auto">
                    <a:xfrm>
                      <a:off x="0" y="0"/>
                      <a:ext cx="2533650" cy="1323975"/>
                    </a:xfrm>
                    <a:prstGeom prst="rect">
                      <a:avLst/>
                    </a:prstGeom>
                    <a:noFill/>
                    <a:ln w="9525" algn="in">
                      <a:noFill/>
                      <a:miter lim="800000"/>
                      <a:headEnd/>
                      <a:tailEnd/>
                    </a:ln>
                  </pic:spPr>
                </pic:pic>
              </a:graphicData>
            </a:graphic>
          </wp:anchor>
        </w:drawing>
      </w:r>
    </w:p>
    <w:p w:rsidR="00DD0414" w:rsidRPr="005A75DC" w:rsidRDefault="00DD0414" w:rsidP="00057103">
      <w:pPr>
        <w:jc w:val="right"/>
        <w:rPr>
          <w:b/>
          <w:noProof/>
          <w:lang w:eastAsia="zh-TW"/>
        </w:rPr>
      </w:pPr>
    </w:p>
    <w:p w:rsidR="005A75DC" w:rsidRPr="005A75DC" w:rsidRDefault="005A75DC" w:rsidP="00057103">
      <w:pPr>
        <w:jc w:val="right"/>
        <w:rPr>
          <w:b/>
          <w:noProof/>
          <w:lang w:eastAsia="zh-TW"/>
        </w:rPr>
      </w:pPr>
    </w:p>
    <w:p w:rsidR="005A75DC" w:rsidRPr="005A75DC" w:rsidRDefault="004B0DB2" w:rsidP="005A75DC">
      <w:pPr>
        <w:jc w:val="center"/>
        <w:rPr>
          <w:b/>
          <w:noProof/>
          <w:lang w:eastAsia="zh-TW"/>
        </w:rPr>
      </w:pPr>
      <w:r>
        <w:rPr>
          <w:b/>
          <w:noProof/>
          <w:lang w:eastAsia="zh-TW"/>
        </w:rPr>
        <w:t>LEAP Action Learning Report 2014</w:t>
      </w:r>
      <w:bookmarkStart w:id="0" w:name="_GoBack"/>
      <w:bookmarkEnd w:id="0"/>
    </w:p>
    <w:tbl>
      <w:tblPr>
        <w:tblStyle w:val="TableGrid"/>
        <w:tblW w:w="9924" w:type="dxa"/>
        <w:tblInd w:w="-318" w:type="dxa"/>
        <w:tblLook w:val="04A0"/>
      </w:tblPr>
      <w:tblGrid>
        <w:gridCol w:w="2310"/>
        <w:gridCol w:w="7614"/>
      </w:tblGrid>
      <w:tr w:rsidR="005A75DC">
        <w:tc>
          <w:tcPr>
            <w:tcW w:w="2310" w:type="dxa"/>
            <w:vAlign w:val="center"/>
          </w:tcPr>
          <w:p w:rsidR="0045002A" w:rsidRDefault="0045002A" w:rsidP="00DB051F">
            <w:pPr>
              <w:jc w:val="center"/>
            </w:pPr>
          </w:p>
          <w:p w:rsidR="005A75DC" w:rsidRDefault="005A75DC" w:rsidP="00DB051F">
            <w:pPr>
              <w:jc w:val="center"/>
            </w:pPr>
            <w:r>
              <w:t>Topic area</w:t>
            </w:r>
          </w:p>
          <w:p w:rsidR="005A75DC" w:rsidRDefault="00817174" w:rsidP="00DB051F">
            <w:pPr>
              <w:jc w:val="center"/>
            </w:pPr>
            <w:r>
              <w:t>(</w:t>
            </w:r>
            <w:r w:rsidR="005A75DC">
              <w:t>What)</w:t>
            </w:r>
          </w:p>
          <w:p w:rsidR="005A75DC" w:rsidRDefault="005A75DC" w:rsidP="00DB051F">
            <w:pPr>
              <w:jc w:val="center"/>
            </w:pPr>
          </w:p>
        </w:tc>
        <w:tc>
          <w:tcPr>
            <w:tcW w:w="7614" w:type="dxa"/>
          </w:tcPr>
          <w:p w:rsidR="00DB051F" w:rsidRDefault="00DB051F" w:rsidP="005A75DC"/>
          <w:p w:rsidR="005A75DC" w:rsidRDefault="00002692" w:rsidP="00002692">
            <w:r>
              <w:t>An exploration of</w:t>
            </w:r>
            <w:r w:rsidR="00DB051F">
              <w:t xml:space="preserve"> </w:t>
            </w:r>
            <w:r>
              <w:t>possible links</w:t>
            </w:r>
            <w:r w:rsidR="00DB051F">
              <w:t xml:space="preserve"> between school leadership a</w:t>
            </w:r>
            <w:r>
              <w:t>nd student outcomes as demonstrated in Finnish schools.</w:t>
            </w:r>
          </w:p>
        </w:tc>
      </w:tr>
      <w:tr w:rsidR="005A75DC">
        <w:trPr>
          <w:trHeight w:val="11331"/>
        </w:trPr>
        <w:tc>
          <w:tcPr>
            <w:tcW w:w="2310" w:type="dxa"/>
            <w:vAlign w:val="center"/>
          </w:tcPr>
          <w:p w:rsidR="005A75DC" w:rsidRDefault="005A75DC" w:rsidP="00DB051F">
            <w:pPr>
              <w:jc w:val="center"/>
            </w:pPr>
            <w:r>
              <w:t>Context</w:t>
            </w:r>
          </w:p>
          <w:p w:rsidR="005A75DC" w:rsidRDefault="00817174" w:rsidP="00DB051F">
            <w:pPr>
              <w:jc w:val="center"/>
            </w:pPr>
            <w:r>
              <w:t>(</w:t>
            </w:r>
            <w:r w:rsidR="005A75DC">
              <w:t>Where and When)</w:t>
            </w:r>
          </w:p>
          <w:p w:rsidR="005A75DC" w:rsidRDefault="005A75DC" w:rsidP="00DB051F">
            <w:pPr>
              <w:jc w:val="center"/>
            </w:pPr>
          </w:p>
          <w:p w:rsidR="005A75DC" w:rsidRDefault="005A75DC" w:rsidP="00DB051F">
            <w:pPr>
              <w:jc w:val="center"/>
            </w:pPr>
          </w:p>
        </w:tc>
        <w:tc>
          <w:tcPr>
            <w:tcW w:w="7614" w:type="dxa"/>
          </w:tcPr>
          <w:p w:rsidR="00002692" w:rsidRDefault="00002692" w:rsidP="005A75DC"/>
          <w:p w:rsidR="007D4DA4" w:rsidRDefault="007D4DA4" w:rsidP="007D4DA4">
            <w:r>
              <w:t xml:space="preserve">The Finnish education system has received significant international acclaim largely due to the performance of Finnish Year 9 students on </w:t>
            </w:r>
            <w:r w:rsidR="00C803A1">
              <w:t xml:space="preserve">international </w:t>
            </w:r>
            <w:r>
              <w:t>PISA assessments. Hence there has been increasing inter</w:t>
            </w:r>
            <w:r w:rsidR="003B0912">
              <w:t xml:space="preserve">est in </w:t>
            </w:r>
            <w:r w:rsidR="00C803A1">
              <w:t>identifying</w:t>
            </w:r>
            <w:r w:rsidR="003B0912">
              <w:t xml:space="preserve"> what </w:t>
            </w:r>
            <w:r>
              <w:t xml:space="preserve">it is in Finnish classrooms or </w:t>
            </w:r>
            <w:r w:rsidR="00C803A1">
              <w:t xml:space="preserve">the </w:t>
            </w:r>
            <w:r>
              <w:t>Finnish</w:t>
            </w:r>
            <w:r w:rsidR="003B0912">
              <w:t xml:space="preserve"> schooling</w:t>
            </w:r>
            <w:r w:rsidR="00C803A1">
              <w:t xml:space="preserve"> that can account for this level of student achievement</w:t>
            </w:r>
            <w:r>
              <w:t xml:space="preserve">. There is also considerable </w:t>
            </w:r>
            <w:r w:rsidR="003B0912">
              <w:t xml:space="preserve">local </w:t>
            </w:r>
            <w:r w:rsidR="008F1922">
              <w:t xml:space="preserve">Finnish </w:t>
            </w:r>
            <w:r>
              <w:t xml:space="preserve">acclaim for the high standard of teacher training </w:t>
            </w:r>
            <w:r w:rsidR="008F1922">
              <w:t>due to the fact that</w:t>
            </w:r>
            <w:r>
              <w:t xml:space="preserve"> all teachers hold a masters degree or higher and all principals must hold a leadership accreditation before appointment to the position.</w:t>
            </w:r>
          </w:p>
          <w:p w:rsidR="007D4DA4" w:rsidRDefault="007D4DA4" w:rsidP="007D4DA4"/>
          <w:p w:rsidR="00822BA2" w:rsidRDefault="00002692" w:rsidP="00002692">
            <w:r>
              <w:t xml:space="preserve">The investigation </w:t>
            </w:r>
            <w:r w:rsidR="000143D0">
              <w:t xml:space="preserve">described here </w:t>
            </w:r>
            <w:r>
              <w:t>was part of the LEAP 2014 program organised for educational leaders within the NSW DEC.</w:t>
            </w:r>
            <w:r w:rsidR="00822BA2">
              <w:t xml:space="preserve"> </w:t>
            </w:r>
            <w:r>
              <w:t>After</w:t>
            </w:r>
            <w:r w:rsidR="000E67C7">
              <w:t xml:space="preserve"> an initial visit by a Finnish p</w:t>
            </w:r>
            <w:r>
              <w:t xml:space="preserve">rincipal to </w:t>
            </w:r>
            <w:r w:rsidR="00822BA2">
              <w:t xml:space="preserve">NSW in July 2014, </w:t>
            </w:r>
            <w:r w:rsidR="0058726D">
              <w:t>the same principal hosted a comparable visit</w:t>
            </w:r>
            <w:r w:rsidR="000E67C7">
              <w:t xml:space="preserve"> during</w:t>
            </w:r>
            <w:r w:rsidR="00822BA2">
              <w:t xml:space="preserve"> September-October 2014 </w:t>
            </w:r>
            <w:r w:rsidR="0058726D">
              <w:t xml:space="preserve">primarily </w:t>
            </w:r>
            <w:r w:rsidR="00822BA2">
              <w:t xml:space="preserve">to </w:t>
            </w:r>
            <w:r w:rsidR="0058726D">
              <w:t xml:space="preserve">his school in </w:t>
            </w:r>
            <w:r w:rsidR="00822BA2">
              <w:t>Helsinki, Finland.</w:t>
            </w:r>
          </w:p>
          <w:p w:rsidR="000C0199" w:rsidRDefault="000C0199" w:rsidP="00002692"/>
          <w:p w:rsidR="000C0199" w:rsidRDefault="000C0199" w:rsidP="00002692">
            <w:r>
              <w:t xml:space="preserve">The visit to Finland (Pop: approximately 5.5 million) was largely centred on the capital city Helsinki (Pop: approximately 1 million). The host principal was the leader of a small secondary school (400 students) catering for </w:t>
            </w:r>
            <w:r w:rsidR="00295D0E">
              <w:t xml:space="preserve">Years 7- 9 </w:t>
            </w:r>
            <w:r>
              <w:t>students of low-middle socio-economic background, with about 30% of the students of non-Finnish origins.</w:t>
            </w:r>
          </w:p>
          <w:p w:rsidR="000C0199" w:rsidRDefault="000C0199" w:rsidP="00002692"/>
          <w:p w:rsidR="006B4EFD" w:rsidRDefault="000C0199" w:rsidP="00295D0E">
            <w:r>
              <w:t>Short visits to other Helsinki and Espoo schools were also arranged including</w:t>
            </w:r>
            <w:r w:rsidR="00295D0E">
              <w:t xml:space="preserve"> a </w:t>
            </w:r>
            <w:r w:rsidR="00A85357">
              <w:t xml:space="preserve">Year 7-12 </w:t>
            </w:r>
            <w:r w:rsidR="00295D0E">
              <w:t>bi-lingual school in Helsinki East catering for around 770 most</w:t>
            </w:r>
            <w:r w:rsidR="00A85357">
              <w:t>ly upper middle class students</w:t>
            </w:r>
            <w:r w:rsidR="006B4EFD">
              <w:t>. Another school visited i</w:t>
            </w:r>
            <w:r w:rsidR="00295D0E">
              <w:t xml:space="preserve">n Helsinki catered for </w:t>
            </w:r>
            <w:r w:rsidR="006B4EFD">
              <w:t xml:space="preserve">about 800 </w:t>
            </w:r>
            <w:r w:rsidR="00C77955">
              <w:t xml:space="preserve">mostly middle </w:t>
            </w:r>
            <w:proofErr w:type="gramStart"/>
            <w:r w:rsidR="00C77955">
              <w:t>class</w:t>
            </w:r>
            <w:proofErr w:type="gramEnd"/>
            <w:r w:rsidR="00C77955">
              <w:t xml:space="preserve"> </w:t>
            </w:r>
            <w:r w:rsidR="006B4EFD">
              <w:t>Year</w:t>
            </w:r>
            <w:r w:rsidR="00295D0E">
              <w:t xml:space="preserve"> 7- 9</w:t>
            </w:r>
            <w:r w:rsidR="00E668E1">
              <w:t xml:space="preserve"> </w:t>
            </w:r>
            <w:r w:rsidR="006B4EFD">
              <w:t xml:space="preserve">students. Also in Helsinki, a visit was arranged to a specialist sport high school catering for elite athletes from across Finland </w:t>
            </w:r>
            <w:r w:rsidR="00C77955">
              <w:t xml:space="preserve">enabling them </w:t>
            </w:r>
            <w:r w:rsidR="006B4EFD">
              <w:t>to complete b</w:t>
            </w:r>
            <w:r w:rsidR="001818BD">
              <w:t xml:space="preserve">oth their sporting and </w:t>
            </w:r>
            <w:r w:rsidR="006B4EFD">
              <w:t xml:space="preserve">high school </w:t>
            </w:r>
            <w:r w:rsidR="00D25722">
              <w:t xml:space="preserve">commitments. </w:t>
            </w:r>
          </w:p>
          <w:p w:rsidR="006B4EFD" w:rsidRDefault="006B4EFD" w:rsidP="00295D0E"/>
          <w:p w:rsidR="00D25722" w:rsidRDefault="006B4EFD" w:rsidP="00295D0E">
            <w:r>
              <w:t>Two ot</w:t>
            </w:r>
            <w:r w:rsidR="00C46B77">
              <w:t>her schools visited were large vocational s</w:t>
            </w:r>
            <w:r>
              <w:t xml:space="preserve">chools, one in Helsinki and one in Espoo, catering for Year 10-12 students choosing a less academic pathway in their high school years. </w:t>
            </w:r>
          </w:p>
          <w:p w:rsidR="00D25722" w:rsidRDefault="00D25722" w:rsidP="00295D0E"/>
          <w:p w:rsidR="007A7708" w:rsidRDefault="00D25722" w:rsidP="00030DB2">
            <w:r>
              <w:t xml:space="preserve">Additionally there was an opportunity to speak with other educational trainers and leaders. These included a Director and Assistant Directors for Helsinki Education, </w:t>
            </w:r>
            <w:r w:rsidR="00E668E1">
              <w:t>Head of School and l</w:t>
            </w:r>
            <w:r>
              <w:t xml:space="preserve">ecturers </w:t>
            </w:r>
            <w:r w:rsidR="00E668E1">
              <w:t xml:space="preserve">in </w:t>
            </w:r>
            <w:r w:rsidR="00030DB2">
              <w:t>the Education Faculty at</w:t>
            </w:r>
            <w:r>
              <w:t xml:space="preserve"> </w:t>
            </w:r>
            <w:proofErr w:type="spellStart"/>
            <w:r>
              <w:t>Metropolia</w:t>
            </w:r>
            <w:proofErr w:type="spellEnd"/>
            <w:r>
              <w:t xml:space="preserve"> Univ</w:t>
            </w:r>
            <w:r w:rsidR="00030DB2">
              <w:t>ersity in Helsinki, Director of</w:t>
            </w:r>
            <w:r>
              <w:t xml:space="preserve"> Education</w:t>
            </w:r>
            <w:r w:rsidR="00030DB2">
              <w:t xml:space="preserve"> in Espoo City</w:t>
            </w:r>
            <w:r>
              <w:t xml:space="preserve">, Head of School in Education and Professional Learning at </w:t>
            </w:r>
            <w:proofErr w:type="spellStart"/>
            <w:r>
              <w:t>Jyvaskula</w:t>
            </w:r>
            <w:proofErr w:type="spellEnd"/>
            <w:r>
              <w:t xml:space="preserve"> University</w:t>
            </w:r>
            <w:r w:rsidR="00030DB2">
              <w:t xml:space="preserve"> (north of Helsinki)</w:t>
            </w:r>
            <w:r w:rsidR="00B41625">
              <w:t xml:space="preserve">, </w:t>
            </w:r>
            <w:r w:rsidR="00030DB2">
              <w:t xml:space="preserve">the </w:t>
            </w:r>
            <w:r w:rsidR="00B41625">
              <w:t xml:space="preserve">Head of the Finnish National Board of Education and </w:t>
            </w:r>
            <w:r w:rsidR="00030DB2">
              <w:t xml:space="preserve">the </w:t>
            </w:r>
            <w:r w:rsidR="00B41625">
              <w:t xml:space="preserve">President </w:t>
            </w:r>
            <w:r w:rsidR="00030DB2">
              <w:t xml:space="preserve">as well the Head of International Programs for </w:t>
            </w:r>
            <w:r w:rsidR="00B41625">
              <w:t>the Finnish Teachers Union.</w:t>
            </w:r>
          </w:p>
          <w:p w:rsidR="005A75DC" w:rsidRDefault="005A75DC" w:rsidP="00030DB2"/>
        </w:tc>
      </w:tr>
      <w:tr w:rsidR="005A75DC">
        <w:tc>
          <w:tcPr>
            <w:tcW w:w="2310" w:type="dxa"/>
            <w:vAlign w:val="center"/>
          </w:tcPr>
          <w:p w:rsidR="00DB0714" w:rsidRDefault="00DB0714" w:rsidP="00DB051F">
            <w:pPr>
              <w:jc w:val="center"/>
            </w:pPr>
          </w:p>
          <w:p w:rsidR="00DB0714" w:rsidRDefault="00DB0714" w:rsidP="00DB051F">
            <w:pPr>
              <w:jc w:val="center"/>
            </w:pPr>
          </w:p>
          <w:p w:rsidR="005A75DC" w:rsidRDefault="005A75DC" w:rsidP="00DB051F">
            <w:pPr>
              <w:jc w:val="center"/>
            </w:pPr>
            <w:r>
              <w:t>Research methods</w:t>
            </w:r>
          </w:p>
          <w:p w:rsidR="005A75DC" w:rsidRDefault="00817174" w:rsidP="00DB051F">
            <w:pPr>
              <w:jc w:val="center"/>
            </w:pPr>
            <w:r>
              <w:t>(</w:t>
            </w:r>
            <w:r w:rsidR="005A75DC">
              <w:t>How)</w:t>
            </w:r>
          </w:p>
          <w:p w:rsidR="005A75DC" w:rsidRDefault="005A75DC" w:rsidP="00DB051F">
            <w:pPr>
              <w:jc w:val="center"/>
            </w:pPr>
          </w:p>
          <w:p w:rsidR="005A75DC" w:rsidRDefault="005A75DC" w:rsidP="00DB051F">
            <w:pPr>
              <w:jc w:val="center"/>
            </w:pPr>
          </w:p>
        </w:tc>
        <w:tc>
          <w:tcPr>
            <w:tcW w:w="7614" w:type="dxa"/>
          </w:tcPr>
          <w:p w:rsidR="00D60B41" w:rsidRDefault="00D60B41" w:rsidP="005A75DC"/>
          <w:p w:rsidR="00DB0714" w:rsidRDefault="00D60B41" w:rsidP="005A75DC">
            <w:r>
              <w:t xml:space="preserve">Due to the nature of the visits and the reliance on </w:t>
            </w:r>
            <w:r w:rsidR="00DB0714">
              <w:t xml:space="preserve">the </w:t>
            </w:r>
            <w:r>
              <w:t>organisation being provided by the host principal</w:t>
            </w:r>
            <w:r w:rsidR="00DB0714">
              <w:t>, research methodology was largely restricted to direct observation and discussions. Some limited statistics related to student performance was available on request, but this was somewhat piecemeal and not directly comparable between the various school contexts.</w:t>
            </w:r>
          </w:p>
          <w:p w:rsidR="00DB0714" w:rsidRDefault="00DB0714" w:rsidP="005A75DC"/>
          <w:p w:rsidR="00DB0714" w:rsidRDefault="00DB0714" w:rsidP="005A75DC">
            <w:r>
              <w:t>In most cases direct observations of classrooms, student, teacher and school leader behaviours were recorded via note taking. Additionally some prepared material was provided on various site visits. Photographs were also taken were possible as a means of recording the physical learning environments as well as observations of interest to an audience of Australian educators.</w:t>
            </w:r>
          </w:p>
          <w:p w:rsidR="00DB0714" w:rsidRDefault="00DB0714" w:rsidP="005A75DC"/>
          <w:p w:rsidR="00F354A8" w:rsidRDefault="00DB0714" w:rsidP="00F354A8">
            <w:r>
              <w:t xml:space="preserve">Additionally there was an opportunity to </w:t>
            </w:r>
            <w:r w:rsidR="00F354A8">
              <w:t>teach</w:t>
            </w:r>
            <w:r>
              <w:t xml:space="preserve"> some English classes</w:t>
            </w:r>
            <w:r w:rsidR="00F354A8">
              <w:t xml:space="preserve"> in some of the schools visited. While the lessons were not strictly appropriate for the specific learning programs at the time, the lessons mostly provided detailed background in English language as it related to the Australian context and culture. These lessons also provided another valuable source of direct observation of student achievement levels and classroom/school culture in Finnish schools.</w:t>
            </w:r>
          </w:p>
          <w:p w:rsidR="005A75DC" w:rsidRDefault="005A75DC" w:rsidP="00F354A8"/>
        </w:tc>
      </w:tr>
      <w:tr w:rsidR="005A75DC">
        <w:tc>
          <w:tcPr>
            <w:tcW w:w="2310" w:type="dxa"/>
            <w:vAlign w:val="center"/>
          </w:tcPr>
          <w:p w:rsidR="005A75DC" w:rsidRDefault="00111EC4" w:rsidP="00DB051F">
            <w:pPr>
              <w:jc w:val="center"/>
            </w:pPr>
            <w:r>
              <w:t>F</w:t>
            </w:r>
            <w:r w:rsidR="005A75DC">
              <w:t>indings</w:t>
            </w:r>
          </w:p>
          <w:p w:rsidR="005A75DC" w:rsidRDefault="00817174" w:rsidP="00DB051F">
            <w:pPr>
              <w:jc w:val="center"/>
            </w:pPr>
            <w:r>
              <w:t>(So what)</w:t>
            </w:r>
          </w:p>
          <w:p w:rsidR="005A75DC" w:rsidRDefault="005A75DC" w:rsidP="00DB051F">
            <w:pPr>
              <w:jc w:val="center"/>
            </w:pPr>
          </w:p>
        </w:tc>
        <w:tc>
          <w:tcPr>
            <w:tcW w:w="7614" w:type="dxa"/>
          </w:tcPr>
          <w:p w:rsidR="00A15E37" w:rsidRDefault="00A15E37" w:rsidP="005A75DC"/>
          <w:p w:rsidR="00A15E37" w:rsidRDefault="00A15E37" w:rsidP="005A75DC">
            <w:r>
              <w:t>In summary the following findings were apparent:</w:t>
            </w:r>
          </w:p>
          <w:p w:rsidR="00A15E37" w:rsidRDefault="00A15E37" w:rsidP="005A75DC"/>
          <w:p w:rsidR="00344A88" w:rsidRDefault="00A15E37" w:rsidP="00A15E37">
            <w:pPr>
              <w:pStyle w:val="ListParagraph"/>
              <w:numPr>
                <w:ilvl w:val="0"/>
                <w:numId w:val="1"/>
              </w:numPr>
            </w:pPr>
            <w:r>
              <w:t xml:space="preserve">The type and standard of school leadership observed in </w:t>
            </w:r>
            <w:r w:rsidR="00A57E57">
              <w:t xml:space="preserve">the </w:t>
            </w:r>
            <w:r>
              <w:t xml:space="preserve">Finnish schools </w:t>
            </w:r>
            <w:r w:rsidR="00A57E57">
              <w:t>visited i</w:t>
            </w:r>
            <w:r>
              <w:t xml:space="preserve">s significantly different to that regarded as exemplary </w:t>
            </w:r>
            <w:r w:rsidR="002804EA">
              <w:t xml:space="preserve">in </w:t>
            </w:r>
            <w:r>
              <w:t>school leadership in NSW schools</w:t>
            </w:r>
            <w:r w:rsidR="002804EA">
              <w:t>.</w:t>
            </w:r>
          </w:p>
          <w:p w:rsidR="00A15E37" w:rsidRDefault="00344A88" w:rsidP="00A15E37">
            <w:pPr>
              <w:pStyle w:val="ListParagraph"/>
              <w:numPr>
                <w:ilvl w:val="0"/>
                <w:numId w:val="1"/>
              </w:numPr>
            </w:pPr>
            <w:r>
              <w:t>The role of the Finnish principal</w:t>
            </w:r>
            <w:r w:rsidR="00107A6F">
              <w:t>,</w:t>
            </w:r>
            <w:r>
              <w:t xml:space="preserve"> as discerned through </w:t>
            </w:r>
            <w:r w:rsidR="00107A6F">
              <w:t xml:space="preserve">observations of </w:t>
            </w:r>
            <w:r>
              <w:t xml:space="preserve">the daily tasks completed, appears to be primarily focussed on management of the school rather than </w:t>
            </w:r>
            <w:r w:rsidR="00107A6F">
              <w:t xml:space="preserve">on the </w:t>
            </w:r>
            <w:r>
              <w:t>leadership of education for that school and its students.</w:t>
            </w:r>
          </w:p>
          <w:p w:rsidR="004F4F9E" w:rsidRDefault="004F4F9E" w:rsidP="00A15E37">
            <w:pPr>
              <w:pStyle w:val="ListParagraph"/>
              <w:numPr>
                <w:ilvl w:val="0"/>
                <w:numId w:val="1"/>
              </w:numPr>
            </w:pPr>
            <w:r>
              <w:t>The school climate and school</w:t>
            </w:r>
            <w:r w:rsidR="00A57E57">
              <w:t xml:space="preserve"> culture seem to be directly related to </w:t>
            </w:r>
            <w:r>
              <w:t>the leadership style and competencies of the principal</w:t>
            </w:r>
            <w:r w:rsidR="002804EA">
              <w:t>.</w:t>
            </w:r>
          </w:p>
          <w:p w:rsidR="002804EA" w:rsidRDefault="002804EA" w:rsidP="002804EA">
            <w:pPr>
              <w:pStyle w:val="ListParagraph"/>
              <w:numPr>
                <w:ilvl w:val="0"/>
                <w:numId w:val="1"/>
              </w:numPr>
            </w:pPr>
            <w:r>
              <w:t>While not universally observable given the limitations of the research methodology, t</w:t>
            </w:r>
            <w:r w:rsidR="004F4F9E">
              <w:t xml:space="preserve">he </w:t>
            </w:r>
            <w:r>
              <w:t>leadership of the principal via the created school culture, possibly links student outcomes and school leadership.</w:t>
            </w:r>
          </w:p>
          <w:p w:rsidR="00F46904" w:rsidRDefault="00F46904" w:rsidP="00F46904">
            <w:pPr>
              <w:pStyle w:val="ListParagraph"/>
              <w:numPr>
                <w:ilvl w:val="0"/>
                <w:numId w:val="1"/>
              </w:numPr>
            </w:pPr>
            <w:r>
              <w:t>Some q</w:t>
            </w:r>
            <w:r w:rsidR="002804EA">
              <w:t>uality programs do exist in Finland</w:t>
            </w:r>
            <w:r>
              <w:t>,</w:t>
            </w:r>
            <w:r w:rsidR="002804EA">
              <w:t xml:space="preserve"> </w:t>
            </w:r>
            <w:r>
              <w:t>which directly</w:t>
            </w:r>
            <w:r w:rsidR="002804EA">
              <w:t xml:space="preserve"> </w:t>
            </w:r>
            <w:r>
              <w:t>assist the ongoing development of school leaders.</w:t>
            </w:r>
          </w:p>
          <w:p w:rsidR="00E047AA" w:rsidRDefault="00F46904" w:rsidP="00F46904">
            <w:pPr>
              <w:pStyle w:val="ListParagraph"/>
              <w:numPr>
                <w:ilvl w:val="0"/>
                <w:numId w:val="1"/>
              </w:numPr>
            </w:pPr>
            <w:r>
              <w:t>The credentialing of principals alone has little bearing on their ability to lead a school, but does provide some assistance in developing management skills.</w:t>
            </w:r>
          </w:p>
          <w:p w:rsidR="00F46904" w:rsidRDefault="00E047AA" w:rsidP="00F46904">
            <w:pPr>
              <w:pStyle w:val="ListParagraph"/>
              <w:numPr>
                <w:ilvl w:val="0"/>
                <w:numId w:val="1"/>
              </w:numPr>
            </w:pPr>
            <w:r>
              <w:t>The educational provision in the vocational education context appears far more innovative and engaging for students than most of the more academic oriented schools visited.</w:t>
            </w:r>
          </w:p>
          <w:p w:rsidR="005A75DC" w:rsidRDefault="00F46904" w:rsidP="00344A88">
            <w:pPr>
              <w:pStyle w:val="ListParagraph"/>
              <w:numPr>
                <w:ilvl w:val="0"/>
                <w:numId w:val="1"/>
              </w:numPr>
            </w:pPr>
            <w:r>
              <w:t xml:space="preserve">There is some </w:t>
            </w:r>
            <w:r w:rsidR="00344A88">
              <w:t xml:space="preserve">reason to doubt </w:t>
            </w:r>
            <w:r>
              <w:t>the authenticity of the results obtained by Finnish Year 9 students on international PISA assessments.</w:t>
            </w:r>
          </w:p>
        </w:tc>
      </w:tr>
      <w:tr w:rsidR="005A75DC">
        <w:tc>
          <w:tcPr>
            <w:tcW w:w="2310" w:type="dxa"/>
          </w:tcPr>
          <w:p w:rsidR="00BF67A5" w:rsidRDefault="00BF67A5" w:rsidP="00A660F4">
            <w:pPr>
              <w:jc w:val="center"/>
            </w:pPr>
          </w:p>
          <w:p w:rsidR="00BF67A5" w:rsidRDefault="00BF67A5" w:rsidP="00A660F4">
            <w:pPr>
              <w:jc w:val="center"/>
            </w:pPr>
          </w:p>
          <w:p w:rsidR="005A75DC" w:rsidRDefault="005A75DC" w:rsidP="00A660F4">
            <w:pPr>
              <w:jc w:val="center"/>
            </w:pPr>
            <w:r>
              <w:t>The author</w:t>
            </w:r>
          </w:p>
          <w:p w:rsidR="005A75DC" w:rsidRDefault="005A75DC" w:rsidP="005A75DC">
            <w:pPr>
              <w:jc w:val="center"/>
            </w:pPr>
          </w:p>
          <w:p w:rsidR="005A75DC" w:rsidRDefault="005A75DC" w:rsidP="005A75DC">
            <w:pPr>
              <w:jc w:val="center"/>
            </w:pPr>
            <w:r>
              <w:t>For further information contact:</w:t>
            </w:r>
          </w:p>
        </w:tc>
        <w:tc>
          <w:tcPr>
            <w:tcW w:w="7614" w:type="dxa"/>
          </w:tcPr>
          <w:p w:rsidR="00BF67A5" w:rsidRDefault="00BF67A5" w:rsidP="005A75DC"/>
          <w:p w:rsidR="005A75DC" w:rsidRDefault="005A75DC" w:rsidP="005A75DC">
            <w:r>
              <w:t>Name:</w:t>
            </w:r>
            <w:r w:rsidR="00BF67A5">
              <w:t xml:space="preserve">                         Neil Worsley – College Principal</w:t>
            </w:r>
          </w:p>
          <w:p w:rsidR="005A75DC" w:rsidRDefault="005A75DC" w:rsidP="005A75DC"/>
          <w:p w:rsidR="00BF67A5" w:rsidRDefault="005A75DC" w:rsidP="005A75DC">
            <w:r>
              <w:t>School/work place:</w:t>
            </w:r>
            <w:r w:rsidR="00BF67A5">
              <w:t xml:space="preserve">  Northern Beaches Secondary College</w:t>
            </w:r>
          </w:p>
          <w:p w:rsidR="00BF67A5" w:rsidRDefault="00BF67A5" w:rsidP="005A75DC">
            <w:r>
              <w:t xml:space="preserve">                                     Harbord Road, Freshwater.  NSW.  2096</w:t>
            </w:r>
          </w:p>
          <w:p w:rsidR="005A75DC" w:rsidRDefault="005A75DC" w:rsidP="005A75DC">
            <w:r>
              <w:t>Contacts:</w:t>
            </w:r>
          </w:p>
          <w:p w:rsidR="005C4728" w:rsidRDefault="005C4728" w:rsidP="005A75DC">
            <w:r>
              <w:t>Email:</w:t>
            </w:r>
            <w:r w:rsidR="00BF67A5">
              <w:t xml:space="preserve">                         neil.worsley@det.nsw.edu.au</w:t>
            </w:r>
          </w:p>
          <w:p w:rsidR="005C4728" w:rsidRDefault="005C4728" w:rsidP="005A75DC"/>
          <w:p w:rsidR="005A75DC" w:rsidRDefault="005C4728" w:rsidP="005A75DC">
            <w:r>
              <w:lastRenderedPageBreak/>
              <w:t>Phone:</w:t>
            </w:r>
            <w:r w:rsidR="00BF67A5">
              <w:t xml:space="preserve">                       02 9939 6942</w:t>
            </w:r>
          </w:p>
        </w:tc>
      </w:tr>
    </w:tbl>
    <w:p w:rsidR="005A75DC" w:rsidRDefault="005A75DC" w:rsidP="005A75DC"/>
    <w:sectPr w:rsidR="005A75DC" w:rsidSect="0045002A">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6F" w:rsidRDefault="00107A6F" w:rsidP="005A75DC">
      <w:pPr>
        <w:spacing w:after="0" w:line="240" w:lineRule="auto"/>
      </w:pPr>
      <w:r>
        <w:separator/>
      </w:r>
    </w:p>
  </w:endnote>
  <w:endnote w:type="continuationSeparator" w:id="0">
    <w:p w:rsidR="00107A6F" w:rsidRDefault="00107A6F" w:rsidP="005A75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6F" w:rsidRDefault="00107A6F" w:rsidP="005A75DC">
      <w:pPr>
        <w:spacing w:after="0" w:line="240" w:lineRule="auto"/>
      </w:pPr>
      <w:r>
        <w:separator/>
      </w:r>
    </w:p>
  </w:footnote>
  <w:footnote w:type="continuationSeparator" w:id="0">
    <w:p w:rsidR="00107A6F" w:rsidRDefault="00107A6F" w:rsidP="005A75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53D73"/>
    <w:multiLevelType w:val="hybridMultilevel"/>
    <w:tmpl w:val="68145AE2"/>
    <w:lvl w:ilvl="0" w:tplc="2EC0FA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057103"/>
    <w:rsid w:val="00002692"/>
    <w:rsid w:val="000143D0"/>
    <w:rsid w:val="00030DB2"/>
    <w:rsid w:val="00057103"/>
    <w:rsid w:val="000C0199"/>
    <w:rsid w:val="000E67C7"/>
    <w:rsid w:val="00107A6F"/>
    <w:rsid w:val="00111EC4"/>
    <w:rsid w:val="001818BD"/>
    <w:rsid w:val="00267AE0"/>
    <w:rsid w:val="00271605"/>
    <w:rsid w:val="002804EA"/>
    <w:rsid w:val="00295D0E"/>
    <w:rsid w:val="002B53E6"/>
    <w:rsid w:val="00344A88"/>
    <w:rsid w:val="003B0912"/>
    <w:rsid w:val="003B2BD7"/>
    <w:rsid w:val="0045002A"/>
    <w:rsid w:val="004B0DB2"/>
    <w:rsid w:val="004F4F9E"/>
    <w:rsid w:val="0058726D"/>
    <w:rsid w:val="005A75DC"/>
    <w:rsid w:val="005C4728"/>
    <w:rsid w:val="00616209"/>
    <w:rsid w:val="00663392"/>
    <w:rsid w:val="006B4EFD"/>
    <w:rsid w:val="007A7708"/>
    <w:rsid w:val="007D4DA4"/>
    <w:rsid w:val="00805364"/>
    <w:rsid w:val="00817174"/>
    <w:rsid w:val="00822BA2"/>
    <w:rsid w:val="008F1922"/>
    <w:rsid w:val="00A15E37"/>
    <w:rsid w:val="00A57E57"/>
    <w:rsid w:val="00A660F4"/>
    <w:rsid w:val="00A85357"/>
    <w:rsid w:val="00A92EBA"/>
    <w:rsid w:val="00B1167C"/>
    <w:rsid w:val="00B41625"/>
    <w:rsid w:val="00BF67A5"/>
    <w:rsid w:val="00C151AE"/>
    <w:rsid w:val="00C46B77"/>
    <w:rsid w:val="00C77955"/>
    <w:rsid w:val="00C803A1"/>
    <w:rsid w:val="00C83822"/>
    <w:rsid w:val="00CC49D3"/>
    <w:rsid w:val="00CC76A8"/>
    <w:rsid w:val="00D25722"/>
    <w:rsid w:val="00D60B41"/>
    <w:rsid w:val="00DB051F"/>
    <w:rsid w:val="00DB0714"/>
    <w:rsid w:val="00DD0414"/>
    <w:rsid w:val="00E047AA"/>
    <w:rsid w:val="00E668E1"/>
    <w:rsid w:val="00F27ED4"/>
    <w:rsid w:val="00F3367C"/>
    <w:rsid w:val="00F354A8"/>
    <w:rsid w:val="00F46904"/>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75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75DC"/>
  </w:style>
  <w:style w:type="paragraph" w:styleId="Footer">
    <w:name w:val="footer"/>
    <w:basedOn w:val="Normal"/>
    <w:link w:val="FooterChar"/>
    <w:uiPriority w:val="99"/>
    <w:semiHidden/>
    <w:unhideWhenUsed/>
    <w:rsid w:val="005A75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75DC"/>
  </w:style>
  <w:style w:type="table" w:styleId="TableGrid">
    <w:name w:val="Table Grid"/>
    <w:basedOn w:val="TableNormal"/>
    <w:uiPriority w:val="59"/>
    <w:rsid w:val="005A7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5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Warran</cp:lastModifiedBy>
  <cp:revision>2</cp:revision>
  <cp:lastPrinted>2015-01-03T09:28:00Z</cp:lastPrinted>
  <dcterms:created xsi:type="dcterms:W3CDTF">2015-01-13T11:51:00Z</dcterms:created>
  <dcterms:modified xsi:type="dcterms:W3CDTF">2015-01-13T11:51:00Z</dcterms:modified>
</cp:coreProperties>
</file>